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4529" w14:textId="11D3BDBE" w:rsidR="002D2B50" w:rsidRPr="00DD2795" w:rsidRDefault="00B438E6" w:rsidP="002D2B50">
      <w:pPr>
        <w:pStyle w:val="CRCoverPage"/>
        <w:tabs>
          <w:tab w:val="right" w:pos="9639"/>
        </w:tabs>
        <w:rPr>
          <w:b/>
          <w:noProof/>
          <w:lang w:val="en-CN"/>
        </w:rPr>
      </w:pPr>
      <w:r w:rsidRPr="00B438E6">
        <w:rPr>
          <w:b/>
          <w:noProof/>
          <w:sz w:val="24"/>
        </w:rPr>
        <w:t>3GPP TSG RAN WG1 #10</w:t>
      </w:r>
      <w:r w:rsidR="008F75A9">
        <w:rPr>
          <w:b/>
          <w:noProof/>
          <w:sz w:val="24"/>
        </w:rPr>
        <w:t>1</w:t>
      </w:r>
      <w:r w:rsidR="002D2B50">
        <w:rPr>
          <w:b/>
          <w:noProof/>
          <w:sz w:val="24"/>
        </w:rPr>
        <w:t xml:space="preserve">                                                      </w:t>
      </w:r>
      <w:r w:rsidR="0005388A">
        <w:rPr>
          <w:b/>
          <w:noProof/>
          <w:sz w:val="24"/>
        </w:rPr>
        <w:tab/>
      </w:r>
      <w:r w:rsidR="002D2B50" w:rsidRPr="00DD2795">
        <w:rPr>
          <w:b/>
          <w:noProof/>
          <w:sz w:val="24"/>
          <w:szCs w:val="24"/>
        </w:rPr>
        <w:t>R1-</w:t>
      </w:r>
      <w:r w:rsidR="00DD2795" w:rsidRPr="00DD2795">
        <w:rPr>
          <w:b/>
          <w:noProof/>
          <w:sz w:val="24"/>
          <w:szCs w:val="24"/>
          <w:lang w:val="en-CN"/>
        </w:rPr>
        <w:t>2</w:t>
      </w:r>
      <w:r w:rsidR="009150D0">
        <w:rPr>
          <w:b/>
          <w:noProof/>
          <w:sz w:val="24"/>
          <w:szCs w:val="24"/>
          <w:lang w:val="en-CN"/>
        </w:rPr>
        <w:t>004208</w:t>
      </w:r>
    </w:p>
    <w:p w14:paraId="1709C1EB" w14:textId="4406D24C" w:rsidR="00B438E6" w:rsidRPr="007D7304" w:rsidRDefault="008F75A9" w:rsidP="00B438E6">
      <w:pPr>
        <w:tabs>
          <w:tab w:val="center" w:pos="4536"/>
          <w:tab w:val="right" w:pos="9072"/>
        </w:tabs>
        <w:rPr>
          <w:rFonts w:ascii="Arial" w:eastAsia="MS Mincho" w:hAnsi="Arial" w:cs="Arial"/>
          <w:b/>
          <w:bCs/>
          <w:sz w:val="22"/>
          <w:szCs w:val="21"/>
          <w:lang w:val="en-GB" w:eastAsia="ja-JP"/>
        </w:rPr>
      </w:pPr>
      <w:r w:rsidRPr="008F75A9">
        <w:rPr>
          <w:rFonts w:ascii="Arial" w:eastAsia="MS Mincho" w:hAnsi="Arial" w:cs="Arial"/>
          <w:b/>
          <w:bCs/>
          <w:sz w:val="22"/>
          <w:szCs w:val="21"/>
          <w:lang w:val="en-GB" w:eastAsia="ja-JP"/>
        </w:rPr>
        <w:t>e-Meeting, May 25</w:t>
      </w:r>
      <w:r w:rsidRPr="008F75A9">
        <w:rPr>
          <w:rFonts w:ascii="Arial" w:eastAsia="MS Mincho" w:hAnsi="Arial" w:cs="Arial"/>
          <w:b/>
          <w:bCs/>
          <w:sz w:val="22"/>
          <w:szCs w:val="21"/>
          <w:vertAlign w:val="superscript"/>
          <w:lang w:val="en-GB" w:eastAsia="ja-JP"/>
        </w:rPr>
        <w:t>th</w:t>
      </w:r>
      <w:r w:rsidRPr="008F75A9">
        <w:rPr>
          <w:rFonts w:ascii="Arial" w:eastAsia="MS Mincho" w:hAnsi="Arial" w:cs="Arial"/>
          <w:b/>
          <w:bCs/>
          <w:sz w:val="22"/>
          <w:szCs w:val="21"/>
          <w:lang w:val="en-GB" w:eastAsia="ja-JP"/>
        </w:rPr>
        <w:t xml:space="preserve"> – June 5</w:t>
      </w:r>
      <w:r w:rsidRPr="008F75A9">
        <w:rPr>
          <w:rFonts w:ascii="Arial" w:eastAsia="MS Mincho" w:hAnsi="Arial" w:cs="Arial"/>
          <w:b/>
          <w:bCs/>
          <w:sz w:val="22"/>
          <w:szCs w:val="21"/>
          <w:vertAlign w:val="superscript"/>
          <w:lang w:val="en-GB" w:eastAsia="ja-JP"/>
        </w:rPr>
        <w:t>th</w:t>
      </w:r>
      <w:r w:rsidRPr="008F75A9">
        <w:rPr>
          <w:rFonts w:ascii="Arial" w:eastAsia="MS Mincho" w:hAnsi="Arial" w:cs="Arial"/>
          <w:b/>
          <w:bCs/>
          <w:sz w:val="22"/>
          <w:szCs w:val="21"/>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C3A8A96"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7D7304">
        <w:rPr>
          <w:sz w:val="22"/>
          <w:szCs w:val="22"/>
        </w:rPr>
        <w:t>1.2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1D36557A" w:rsidR="001F14E7" w:rsidRDefault="00B23EB7" w:rsidP="00B23EB7">
      <w:pPr>
        <w:pStyle w:val="3GPPHeader"/>
        <w:rPr>
          <w:sz w:val="22"/>
          <w:szCs w:val="22"/>
        </w:rPr>
      </w:pPr>
      <w:r w:rsidRPr="00315C6E">
        <w:rPr>
          <w:sz w:val="22"/>
          <w:szCs w:val="22"/>
        </w:rPr>
        <w:t>Title:</w:t>
      </w:r>
      <w:r w:rsidRPr="00315C6E">
        <w:rPr>
          <w:sz w:val="22"/>
          <w:szCs w:val="22"/>
        </w:rPr>
        <w:tab/>
      </w:r>
      <w:r w:rsidR="008F75A9">
        <w:rPr>
          <w:sz w:val="22"/>
          <w:szCs w:val="22"/>
        </w:rPr>
        <w:t>Clarification on UE features within a slot across serving cells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34D639A3"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w:t>
      </w:r>
      <w:r w:rsidR="008F75A9">
        <w:rPr>
          <w:lang w:val="en-US"/>
        </w:rPr>
        <w:t>discussion on the components define</w:t>
      </w:r>
      <w:r w:rsidR="00BA7669">
        <w:rPr>
          <w:lang w:val="en-US"/>
        </w:rPr>
        <w:t>d</w:t>
      </w:r>
      <w:r w:rsidR="008F75A9">
        <w:rPr>
          <w:lang w:val="en-US"/>
        </w:rPr>
        <w:t xml:space="preserve"> as “within a slot across CCs” for some UE features</w:t>
      </w:r>
      <w:r w:rsidR="005B1AD1">
        <w:rPr>
          <w:rFonts w:hint="eastAsia"/>
          <w:lang w:val="en-US" w:eastAsia="zh-CN"/>
        </w:rPr>
        <w:t>.</w:t>
      </w:r>
    </w:p>
    <w:p w14:paraId="311CF04D" w14:textId="7E7C1F19" w:rsidR="00894787" w:rsidRDefault="007D7304" w:rsidP="000A1890">
      <w:pPr>
        <w:pStyle w:val="Heading1"/>
      </w:pPr>
      <w:r>
        <w:t>Discussion</w:t>
      </w:r>
    </w:p>
    <w:p w14:paraId="1FC22E47" w14:textId="56DE0348" w:rsidR="008F75A9" w:rsidRPr="008F75A9" w:rsidRDefault="008F75A9" w:rsidP="007A1B25">
      <w:pPr>
        <w:pStyle w:val="0Maintext"/>
        <w:spacing w:after="120" w:afterAutospacing="0" w:line="240" w:lineRule="auto"/>
        <w:ind w:firstLine="0"/>
        <w:rPr>
          <w:iCs/>
          <w:lang w:val="en-US" w:eastAsia="zh-CN"/>
        </w:rPr>
      </w:pPr>
      <w:r>
        <w:rPr>
          <w:lang w:val="en-US" w:eastAsia="zh-CN"/>
        </w:rPr>
        <w:t xml:space="preserve">In 38.306, the following UE feature group on beam management SSB/CSI-RS are defined, where the component </w:t>
      </w:r>
      <w:proofErr w:type="spellStart"/>
      <w:r w:rsidRPr="008F75A9">
        <w:rPr>
          <w:i/>
          <w:iCs/>
          <w:lang w:val="en-US" w:eastAsia="zh-CN"/>
        </w:rPr>
        <w:t>maxNumberSSB</w:t>
      </w:r>
      <w:proofErr w:type="spellEnd"/>
      <w:r w:rsidRPr="008F75A9">
        <w:rPr>
          <w:i/>
          <w:iCs/>
          <w:lang w:val="en-US" w:eastAsia="zh-CN"/>
        </w:rPr>
        <w:t>-CSI-RS-</w:t>
      </w:r>
      <w:proofErr w:type="spellStart"/>
      <w:r w:rsidRPr="008F75A9">
        <w:rPr>
          <w:i/>
          <w:iCs/>
          <w:lang w:val="en-US" w:eastAsia="zh-CN"/>
        </w:rPr>
        <w:t>ResourceOneTx</w:t>
      </w:r>
      <w:proofErr w:type="spellEnd"/>
      <w:r>
        <w:rPr>
          <w:lang w:val="en-US" w:eastAsia="zh-CN"/>
        </w:rPr>
        <w:t xml:space="preserve"> indicates maximum total number of configured 1-port CSI-RS and SSB for L1-RSRP report within a slot across CCs, and component </w:t>
      </w:r>
      <w:proofErr w:type="spellStart"/>
      <w:r w:rsidRPr="008F75A9">
        <w:rPr>
          <w:i/>
          <w:lang w:val="en-US" w:eastAsia="zh-CN"/>
        </w:rPr>
        <w:t>maxNumberCSI</w:t>
      </w:r>
      <w:proofErr w:type="spellEnd"/>
      <w:r w:rsidRPr="008F75A9">
        <w:rPr>
          <w:i/>
          <w:lang w:val="en-US" w:eastAsia="zh-CN"/>
        </w:rPr>
        <w:t>-RS-</w:t>
      </w:r>
      <w:proofErr w:type="spellStart"/>
      <w:r w:rsidRPr="008F75A9">
        <w:rPr>
          <w:i/>
          <w:lang w:val="en-US" w:eastAsia="zh-CN"/>
        </w:rPr>
        <w:t>ResourceTwoTx</w:t>
      </w:r>
      <w:proofErr w:type="spellEnd"/>
      <w:r>
        <w:rPr>
          <w:i/>
          <w:lang w:val="en-US" w:eastAsia="zh-CN"/>
        </w:rPr>
        <w:t xml:space="preserve"> </w:t>
      </w:r>
      <w:r>
        <w:rPr>
          <w:iCs/>
          <w:lang w:val="en-US" w:eastAsia="zh-CN"/>
        </w:rPr>
        <w:t>indicates maximum total number of 2-port CSI-RS for L1-RSRP report within a slot across CCs.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62B9" w:rsidRPr="00EC0F54" w14:paraId="57DE41E9" w14:textId="77777777" w:rsidTr="00611868">
        <w:trPr>
          <w:cantSplit/>
          <w:tblHeader/>
        </w:trPr>
        <w:tc>
          <w:tcPr>
            <w:tcW w:w="6917" w:type="dxa"/>
          </w:tcPr>
          <w:p w14:paraId="39E66ABC" w14:textId="77777777" w:rsidR="00B162B9" w:rsidRPr="00EC0F54" w:rsidRDefault="00B162B9" w:rsidP="00611868">
            <w:pPr>
              <w:pStyle w:val="TAL"/>
              <w:rPr>
                <w:b/>
                <w:i/>
              </w:rPr>
            </w:pPr>
            <w:proofErr w:type="spellStart"/>
            <w:r w:rsidRPr="00EC0F54">
              <w:rPr>
                <w:b/>
                <w:i/>
              </w:rPr>
              <w:t>beamManagementSSB</w:t>
            </w:r>
            <w:proofErr w:type="spellEnd"/>
            <w:r w:rsidRPr="00EC0F54">
              <w:rPr>
                <w:b/>
                <w:i/>
              </w:rPr>
              <w:t>-CSI-RS</w:t>
            </w:r>
          </w:p>
          <w:p w14:paraId="57997494" w14:textId="77777777" w:rsidR="00B162B9" w:rsidRPr="00EC0F54" w:rsidRDefault="00B162B9" w:rsidP="00611868">
            <w:pPr>
              <w:pStyle w:val="TAL"/>
              <w:rPr>
                <w:rFonts w:eastAsia="MS PGothic"/>
              </w:rPr>
            </w:pPr>
            <w:r w:rsidRPr="00EC0F54">
              <w:rPr>
                <w:rFonts w:eastAsia="MS PGothic"/>
              </w:rPr>
              <w:t>Defines support of SS/PBCH and CSI-RS based RSRP measurements. The capability comprises signalling of</w:t>
            </w:r>
          </w:p>
          <w:p w14:paraId="351A3A24" w14:textId="77777777" w:rsidR="00B162B9" w:rsidRPr="00EC0F54" w:rsidRDefault="00B162B9" w:rsidP="0061186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maxNumberSSB</w:t>
            </w:r>
            <w:proofErr w:type="spellEnd"/>
            <w:r w:rsidRPr="00EC0F54">
              <w:rPr>
                <w:rFonts w:ascii="Arial" w:hAnsi="Arial" w:cs="Arial"/>
                <w:i/>
                <w:sz w:val="18"/>
                <w:szCs w:val="18"/>
              </w:rPr>
              <w:t>-CSI-RS-</w:t>
            </w:r>
            <w:proofErr w:type="spellStart"/>
            <w:r w:rsidRPr="00EC0F54">
              <w:rPr>
                <w:rFonts w:ascii="Arial" w:hAnsi="Arial" w:cs="Arial"/>
                <w:i/>
                <w:sz w:val="18"/>
                <w:szCs w:val="18"/>
              </w:rPr>
              <w:t>ResourceOneTx</w:t>
            </w:r>
            <w:proofErr w:type="spellEnd"/>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t>
            </w:r>
            <w:r w:rsidRPr="00995361">
              <w:rPr>
                <w:rFonts w:ascii="Arial" w:hAnsi="Arial" w:cs="Arial"/>
                <w:sz w:val="18"/>
                <w:szCs w:val="18"/>
                <w:highlight w:val="yellow"/>
              </w:rPr>
              <w:t>within a slot and across all serving cells</w:t>
            </w:r>
            <w:r w:rsidRPr="00EC0F54">
              <w:rPr>
                <w:rFonts w:ascii="Arial" w:hAnsi="Arial" w:cs="Arial"/>
                <w:sz w:val="18"/>
                <w:szCs w:val="18"/>
              </w:rPr>
              <w:t xml:space="preserve"> (see NOTE). On FR2, it is mandatory to report &gt;=8; On FR1, it is mandatory with capability signalling to report &gt;=8.</w:t>
            </w:r>
          </w:p>
          <w:p w14:paraId="4A3551E4" w14:textId="77777777" w:rsidR="00B162B9" w:rsidRPr="00EC0F54" w:rsidRDefault="00B162B9" w:rsidP="0061186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A93775C" w14:textId="77777777" w:rsidR="00B162B9" w:rsidRPr="00EC0F54" w:rsidRDefault="00B162B9" w:rsidP="0061186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w:t>
            </w:r>
            <w:proofErr w:type="spellStart"/>
            <w:r w:rsidRPr="00EC0F54">
              <w:rPr>
                <w:rFonts w:ascii="Arial" w:hAnsi="Arial" w:cs="Arial"/>
                <w:i/>
                <w:sz w:val="18"/>
                <w:szCs w:val="18"/>
              </w:rPr>
              <w:t>ResourceTwoTx</w:t>
            </w:r>
            <w:proofErr w:type="spellEnd"/>
            <w:r w:rsidRPr="00EC0F54">
              <w:rPr>
                <w:rFonts w:ascii="Arial" w:hAnsi="Arial" w:cs="Arial"/>
                <w:sz w:val="18"/>
                <w:szCs w:val="18"/>
              </w:rPr>
              <w:t xml:space="preserve"> indicates maximum total number of two ports NZP CSI-RS resources that are supported by the UE to measure L1-RSRP as specified in TS 38.215 [13] </w:t>
            </w:r>
            <w:r w:rsidRPr="00995361">
              <w:rPr>
                <w:rFonts w:ascii="Arial" w:hAnsi="Arial" w:cs="Arial"/>
                <w:sz w:val="18"/>
                <w:szCs w:val="18"/>
                <w:highlight w:val="yellow"/>
              </w:rPr>
              <w:t>within a slot and across all serving cells</w:t>
            </w:r>
            <w:r w:rsidRPr="00EC0F54">
              <w:rPr>
                <w:rFonts w:ascii="Arial" w:hAnsi="Arial" w:cs="Arial"/>
                <w:sz w:val="18"/>
                <w:szCs w:val="18"/>
              </w:rPr>
              <w:t xml:space="preserve"> (see NOTE).</w:t>
            </w:r>
          </w:p>
          <w:p w14:paraId="0656F4F8" w14:textId="77777777" w:rsidR="00B162B9" w:rsidRPr="00EC0F54" w:rsidRDefault="00B162B9" w:rsidP="0061186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supportedCSI</w:t>
            </w:r>
            <w:proofErr w:type="spellEnd"/>
            <w:r w:rsidRPr="00EC0F54">
              <w:rPr>
                <w:rFonts w:ascii="Arial" w:hAnsi="Arial" w:cs="Arial"/>
                <w:i/>
                <w:sz w:val="18"/>
                <w:szCs w:val="18"/>
              </w:rPr>
              <w:t>-RS-Density</w:t>
            </w:r>
            <w:r w:rsidRPr="00EC0F5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 On FR1, it is mandatory with capability signalling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w:t>
            </w:r>
          </w:p>
          <w:p w14:paraId="51007AFA" w14:textId="77777777" w:rsidR="00B162B9" w:rsidRPr="00EC0F54" w:rsidRDefault="00B162B9" w:rsidP="00611868">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14:paraId="1A7A9B18" w14:textId="77777777" w:rsidR="00B162B9" w:rsidRPr="00EC0F54" w:rsidRDefault="00B162B9" w:rsidP="00611868">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C9CAC20" w14:textId="77777777" w:rsidR="00B162B9" w:rsidRPr="00EC0F54" w:rsidRDefault="00B162B9" w:rsidP="00611868">
            <w:pPr>
              <w:pStyle w:val="TAL"/>
              <w:jc w:val="center"/>
            </w:pPr>
            <w:r w:rsidRPr="00EC0F54">
              <w:t>Band</w:t>
            </w:r>
          </w:p>
        </w:tc>
        <w:tc>
          <w:tcPr>
            <w:tcW w:w="567" w:type="dxa"/>
          </w:tcPr>
          <w:p w14:paraId="5184419C" w14:textId="77777777" w:rsidR="00B162B9" w:rsidRPr="00EC0F54" w:rsidRDefault="00B162B9" w:rsidP="00611868">
            <w:pPr>
              <w:pStyle w:val="TAL"/>
              <w:jc w:val="center"/>
            </w:pPr>
            <w:r w:rsidRPr="00EC0F54">
              <w:t>Yes</w:t>
            </w:r>
          </w:p>
        </w:tc>
        <w:tc>
          <w:tcPr>
            <w:tcW w:w="709" w:type="dxa"/>
          </w:tcPr>
          <w:p w14:paraId="59D5CC6C" w14:textId="77777777" w:rsidR="00B162B9" w:rsidRPr="00EC0F54" w:rsidRDefault="00B162B9" w:rsidP="00611868">
            <w:pPr>
              <w:pStyle w:val="TAL"/>
              <w:jc w:val="center"/>
            </w:pPr>
            <w:r w:rsidRPr="00EC0F54">
              <w:t>No</w:t>
            </w:r>
          </w:p>
        </w:tc>
        <w:tc>
          <w:tcPr>
            <w:tcW w:w="728" w:type="dxa"/>
          </w:tcPr>
          <w:p w14:paraId="7A102166" w14:textId="77777777" w:rsidR="00B162B9" w:rsidRPr="00EC0F54" w:rsidRDefault="00B162B9" w:rsidP="00611868">
            <w:pPr>
              <w:pStyle w:val="TAL"/>
              <w:jc w:val="center"/>
            </w:pPr>
            <w:r w:rsidRPr="00EC0F54">
              <w:t>Yes</w:t>
            </w:r>
          </w:p>
        </w:tc>
      </w:tr>
    </w:tbl>
    <w:p w14:paraId="7A0040C3" w14:textId="2306287B" w:rsidR="008F75A9" w:rsidRDefault="008F75A9" w:rsidP="007A1B25">
      <w:pPr>
        <w:pStyle w:val="0Maintext"/>
        <w:spacing w:after="120" w:afterAutospacing="0" w:line="240" w:lineRule="auto"/>
        <w:ind w:firstLine="0"/>
        <w:rPr>
          <w:lang w:val="en-US" w:eastAsia="zh-CN"/>
        </w:rPr>
      </w:pPr>
    </w:p>
    <w:p w14:paraId="370B7B8D" w14:textId="77777777" w:rsidR="00B162B9" w:rsidRDefault="00B162B9" w:rsidP="007A1B25">
      <w:pPr>
        <w:pStyle w:val="0Maintext"/>
        <w:spacing w:after="120" w:afterAutospacing="0" w:line="240" w:lineRule="auto"/>
        <w:ind w:firstLine="0"/>
        <w:rPr>
          <w:iCs/>
          <w:lang w:val="en-US" w:eastAsia="zh-CN"/>
        </w:rPr>
      </w:pPr>
      <w:r>
        <w:rPr>
          <w:iCs/>
          <w:lang w:val="en-US" w:eastAsia="zh-CN"/>
        </w:rPr>
        <w:lastRenderedPageBreak/>
        <w:t>The subcarrier spacing for different CCs could be different. Then the definition of the time duration for “within a slot across CCs” is unclear. In addition, an SSB could take 4 symbols, then if different subcarrier spacing is configured for different CCs, the SSB may be across 2 “slots”. Then how to count SSB for this UE feature could be another issue.</w:t>
      </w:r>
    </w:p>
    <w:p w14:paraId="3E4BB865" w14:textId="7B6C4645" w:rsidR="00B162B9" w:rsidRDefault="00B162B9" w:rsidP="007A1B25">
      <w:pPr>
        <w:pStyle w:val="0Maintext"/>
        <w:spacing w:after="120" w:afterAutospacing="0" w:line="240" w:lineRule="auto"/>
        <w:ind w:firstLine="0"/>
        <w:rPr>
          <w:lang w:val="en-US" w:eastAsia="zh-CN"/>
        </w:rPr>
      </w:pPr>
      <w:r>
        <w:rPr>
          <w:lang w:val="en-US" w:eastAsia="zh-CN"/>
        </w:rPr>
        <w:t xml:space="preserve">To handle the two issues, one possible way is to define the “within a slot across CCs” to be “within a slot based on the lowest subcarrier spacing across the CCs”. Then the time domain granularity could be </w:t>
      </w:r>
      <w:proofErr w:type="gramStart"/>
      <w:r>
        <w:rPr>
          <w:lang w:val="en-US" w:eastAsia="zh-CN"/>
        </w:rPr>
        <w:t>clear</w:t>
      </w:r>
      <w:proofErr w:type="gramEnd"/>
      <w:r>
        <w:rPr>
          <w:lang w:val="en-US" w:eastAsia="zh-CN"/>
        </w:rPr>
        <w:t xml:space="preserve"> and this can avoid potential issue that SSB may span across two “slots”.</w:t>
      </w:r>
    </w:p>
    <w:p w14:paraId="03D0D08D" w14:textId="04D3201A" w:rsidR="00B162B9" w:rsidRPr="00B162B9" w:rsidRDefault="00B162B9" w:rsidP="007A1B25">
      <w:pPr>
        <w:pStyle w:val="0Maintext"/>
        <w:spacing w:after="120" w:afterAutospacing="0" w:line="240" w:lineRule="auto"/>
        <w:ind w:firstLine="0"/>
        <w:rPr>
          <w:b/>
          <w:bCs/>
          <w:i/>
          <w:iCs/>
          <w:lang w:val="en-US" w:eastAsia="zh-CN"/>
        </w:rPr>
      </w:pPr>
      <w:r w:rsidRPr="00B162B9">
        <w:rPr>
          <w:b/>
          <w:bCs/>
          <w:i/>
          <w:iCs/>
          <w:lang w:val="en-US" w:eastAsia="zh-CN"/>
        </w:rPr>
        <w:t>Proposal 1: RAN1 send</w:t>
      </w:r>
      <w:r w:rsidR="008C6C52">
        <w:rPr>
          <w:b/>
          <w:bCs/>
          <w:i/>
          <w:iCs/>
          <w:lang w:val="en-US" w:eastAsia="zh-CN"/>
        </w:rPr>
        <w:t>s</w:t>
      </w:r>
      <w:r w:rsidRPr="00B162B9">
        <w:rPr>
          <w:rFonts w:hint="eastAsia"/>
          <w:b/>
          <w:bCs/>
          <w:i/>
          <w:iCs/>
          <w:lang w:val="en-US" w:eastAsia="zh-CN"/>
        </w:rPr>
        <w:t xml:space="preserve"> </w:t>
      </w:r>
      <w:r w:rsidRPr="00B162B9">
        <w:rPr>
          <w:b/>
          <w:bCs/>
          <w:i/>
          <w:iCs/>
          <w:lang w:val="en-US" w:eastAsia="zh-CN"/>
        </w:rPr>
        <w:t xml:space="preserve">an LS to RAN2 to clarify for component </w:t>
      </w:r>
      <w:proofErr w:type="spellStart"/>
      <w:r w:rsidRPr="00B162B9">
        <w:rPr>
          <w:b/>
          <w:bCs/>
          <w:i/>
          <w:iCs/>
          <w:lang w:val="en-US" w:eastAsia="zh-CN"/>
        </w:rPr>
        <w:t>maxNumberSSB</w:t>
      </w:r>
      <w:proofErr w:type="spellEnd"/>
      <w:r w:rsidRPr="00B162B9">
        <w:rPr>
          <w:b/>
          <w:bCs/>
          <w:i/>
          <w:iCs/>
          <w:lang w:val="en-US" w:eastAsia="zh-CN"/>
        </w:rPr>
        <w:t>-CSI-RS-</w:t>
      </w:r>
      <w:proofErr w:type="spellStart"/>
      <w:r w:rsidRPr="00B162B9">
        <w:rPr>
          <w:b/>
          <w:bCs/>
          <w:i/>
          <w:iCs/>
          <w:lang w:val="en-US" w:eastAsia="zh-CN"/>
        </w:rPr>
        <w:t>ResourceOneTx</w:t>
      </w:r>
      <w:proofErr w:type="spellEnd"/>
      <w:r w:rsidRPr="00B162B9">
        <w:rPr>
          <w:b/>
          <w:bCs/>
          <w:i/>
          <w:iCs/>
          <w:lang w:val="en-US" w:eastAsia="zh-CN"/>
        </w:rPr>
        <w:t xml:space="preserve"> and component </w:t>
      </w:r>
      <w:proofErr w:type="spellStart"/>
      <w:r w:rsidRPr="00B162B9">
        <w:rPr>
          <w:b/>
          <w:bCs/>
          <w:i/>
          <w:iCs/>
          <w:lang w:val="en-US" w:eastAsia="zh-CN"/>
        </w:rPr>
        <w:t>maxNumberCSI</w:t>
      </w:r>
      <w:proofErr w:type="spellEnd"/>
      <w:r w:rsidRPr="00B162B9">
        <w:rPr>
          <w:b/>
          <w:bCs/>
          <w:i/>
          <w:iCs/>
          <w:lang w:val="en-US" w:eastAsia="zh-CN"/>
        </w:rPr>
        <w:t>-RS-</w:t>
      </w:r>
      <w:proofErr w:type="spellStart"/>
      <w:r w:rsidRPr="00B162B9">
        <w:rPr>
          <w:b/>
          <w:bCs/>
          <w:i/>
          <w:iCs/>
          <w:lang w:val="en-US" w:eastAsia="zh-CN"/>
        </w:rPr>
        <w:t>ResourceTwoTx</w:t>
      </w:r>
      <w:proofErr w:type="spellEnd"/>
      <w:r w:rsidRPr="00B162B9">
        <w:rPr>
          <w:b/>
          <w:bCs/>
          <w:i/>
          <w:iCs/>
          <w:lang w:val="en-US" w:eastAsia="zh-CN"/>
        </w:rPr>
        <w:t xml:space="preserve"> in FG </w:t>
      </w:r>
      <w:proofErr w:type="spellStart"/>
      <w:r w:rsidRPr="00B162B9">
        <w:rPr>
          <w:b/>
          <w:bCs/>
          <w:i/>
          <w:iCs/>
          <w:lang w:val="en-US" w:eastAsia="zh-CN"/>
        </w:rPr>
        <w:t>beamManagementSSB</w:t>
      </w:r>
      <w:proofErr w:type="spellEnd"/>
      <w:r w:rsidRPr="00B162B9">
        <w:rPr>
          <w:b/>
          <w:bCs/>
          <w:i/>
          <w:iCs/>
          <w:lang w:val="en-US" w:eastAsia="zh-CN"/>
        </w:rPr>
        <w:t>-CSI-RS, the “within a slot and across serving cell</w:t>
      </w:r>
      <w:r w:rsidR="008C6C52">
        <w:rPr>
          <w:b/>
          <w:bCs/>
          <w:i/>
          <w:iCs/>
          <w:lang w:val="en-US" w:eastAsia="zh-CN"/>
        </w:rPr>
        <w:t>s…</w:t>
      </w:r>
      <w:r w:rsidRPr="00B162B9">
        <w:rPr>
          <w:b/>
          <w:bCs/>
          <w:i/>
          <w:iCs/>
          <w:lang w:val="en-US" w:eastAsia="zh-CN"/>
        </w:rPr>
        <w:t>” should be “within a slot based on the lowest subcarrier spacing across serving cell</w:t>
      </w:r>
      <w:r w:rsidR="008C6C52">
        <w:rPr>
          <w:b/>
          <w:bCs/>
          <w:i/>
          <w:iCs/>
          <w:lang w:val="en-US" w:eastAsia="zh-CN"/>
        </w:rPr>
        <w:t>s</w:t>
      </w:r>
      <w:r w:rsidRPr="00B162B9">
        <w:rPr>
          <w:b/>
          <w:bCs/>
          <w:i/>
          <w:iCs/>
          <w:lang w:val="en-US" w:eastAsia="zh-CN"/>
        </w:rPr>
        <w:t xml:space="preserve"> and across serving cell</w:t>
      </w:r>
      <w:r w:rsidR="008C6C52">
        <w:rPr>
          <w:b/>
          <w:bCs/>
          <w:i/>
          <w:iCs/>
          <w:lang w:val="en-US" w:eastAsia="zh-CN"/>
        </w:rPr>
        <w:t>s…</w:t>
      </w:r>
      <w:r w:rsidRPr="00B162B9">
        <w:rPr>
          <w:b/>
          <w:bCs/>
          <w:i/>
          <w:iCs/>
          <w:lang w:val="en-US" w:eastAsia="zh-CN"/>
        </w:rPr>
        <w:t>”.</w:t>
      </w:r>
    </w:p>
    <w:p w14:paraId="5E9A45E6" w14:textId="4D7886D4" w:rsidR="003E5CD6" w:rsidRDefault="003E5CD6" w:rsidP="003E5CD6">
      <w:pPr>
        <w:pStyle w:val="Heading1"/>
      </w:pPr>
      <w:r>
        <w:t>Conclusion</w:t>
      </w:r>
    </w:p>
    <w:p w14:paraId="7D875FF0" w14:textId="67BCCA61" w:rsidR="003E5CD6" w:rsidRDefault="003E5CD6" w:rsidP="003E5CD6">
      <w:pPr>
        <w:pStyle w:val="0Maintext"/>
        <w:spacing w:after="120" w:afterAutospacing="0" w:line="240" w:lineRule="auto"/>
        <w:ind w:firstLine="0"/>
      </w:pPr>
      <w:r>
        <w:t xml:space="preserve">In this contribution, we provide detail discussion on </w:t>
      </w:r>
      <w:r w:rsidR="00B162B9">
        <w:t>clarification of “within a slot across CCs” for UE feature</w:t>
      </w:r>
      <w:r w:rsidR="00373419">
        <w:t xml:space="preserve"> </w:t>
      </w:r>
      <w:r w:rsidR="00373419">
        <w:rPr>
          <w:lang w:eastAsia="zh-CN"/>
        </w:rPr>
        <w:t>group</w:t>
      </w:r>
      <w:r w:rsidR="00B162B9">
        <w:rPr>
          <w:rFonts w:hint="eastAsia"/>
          <w:lang w:eastAsia="zh-CN"/>
        </w:rPr>
        <w:t xml:space="preserve"> </w:t>
      </w:r>
      <w:proofErr w:type="spellStart"/>
      <w:r w:rsidR="00B162B9" w:rsidRPr="00373419">
        <w:rPr>
          <w:i/>
          <w:iCs/>
        </w:rPr>
        <w:t>beamManagementSSB</w:t>
      </w:r>
      <w:proofErr w:type="spellEnd"/>
      <w:r w:rsidR="00B162B9" w:rsidRPr="00373419">
        <w:rPr>
          <w:i/>
          <w:iCs/>
        </w:rPr>
        <w:t>-CSI-RS</w:t>
      </w:r>
      <w:r w:rsidR="00B162B9">
        <w:t>, where we achieve the following proposal:</w:t>
      </w:r>
    </w:p>
    <w:p w14:paraId="737F1F9E" w14:textId="2D96155D" w:rsidR="003E5CD6" w:rsidRPr="00995361" w:rsidRDefault="00B162B9" w:rsidP="00995361">
      <w:pPr>
        <w:pStyle w:val="0Maintext"/>
        <w:spacing w:after="120" w:afterAutospacing="0" w:line="240" w:lineRule="auto"/>
        <w:ind w:firstLine="0"/>
        <w:rPr>
          <w:b/>
          <w:bCs/>
          <w:i/>
          <w:iCs/>
          <w:lang w:val="en-US" w:eastAsia="zh-CN"/>
        </w:rPr>
      </w:pPr>
      <w:r w:rsidRPr="00B162B9">
        <w:rPr>
          <w:b/>
          <w:bCs/>
          <w:i/>
          <w:iCs/>
          <w:lang w:val="en-US" w:eastAsia="zh-CN"/>
        </w:rPr>
        <w:t>Proposal 1: RAN1 send</w:t>
      </w:r>
      <w:r w:rsidR="008C6C52">
        <w:rPr>
          <w:b/>
          <w:bCs/>
          <w:i/>
          <w:iCs/>
          <w:lang w:val="en-US" w:eastAsia="zh-CN"/>
        </w:rPr>
        <w:t>s</w:t>
      </w:r>
      <w:r w:rsidRPr="00B162B9">
        <w:rPr>
          <w:b/>
          <w:bCs/>
          <w:i/>
          <w:iCs/>
          <w:lang w:val="en-US" w:eastAsia="zh-CN"/>
        </w:rPr>
        <w:t xml:space="preserve"> an LS to RAN2 to clarify for component </w:t>
      </w:r>
      <w:proofErr w:type="spellStart"/>
      <w:r w:rsidRPr="00B162B9">
        <w:rPr>
          <w:b/>
          <w:bCs/>
          <w:i/>
          <w:iCs/>
          <w:lang w:val="en-US" w:eastAsia="zh-CN"/>
        </w:rPr>
        <w:t>maxNumberSSB</w:t>
      </w:r>
      <w:proofErr w:type="spellEnd"/>
      <w:r w:rsidRPr="00B162B9">
        <w:rPr>
          <w:b/>
          <w:bCs/>
          <w:i/>
          <w:iCs/>
          <w:lang w:val="en-US" w:eastAsia="zh-CN"/>
        </w:rPr>
        <w:t>-CSI-RS-</w:t>
      </w:r>
      <w:proofErr w:type="spellStart"/>
      <w:r w:rsidRPr="00B162B9">
        <w:rPr>
          <w:b/>
          <w:bCs/>
          <w:i/>
          <w:iCs/>
          <w:lang w:val="en-US" w:eastAsia="zh-CN"/>
        </w:rPr>
        <w:t>ResourceOneTx</w:t>
      </w:r>
      <w:proofErr w:type="spellEnd"/>
      <w:r w:rsidRPr="00B162B9">
        <w:rPr>
          <w:b/>
          <w:bCs/>
          <w:i/>
          <w:iCs/>
          <w:lang w:val="en-US" w:eastAsia="zh-CN"/>
        </w:rPr>
        <w:t xml:space="preserve"> and component </w:t>
      </w:r>
      <w:proofErr w:type="spellStart"/>
      <w:r w:rsidRPr="00B162B9">
        <w:rPr>
          <w:b/>
          <w:bCs/>
          <w:i/>
          <w:iCs/>
          <w:lang w:val="en-US" w:eastAsia="zh-CN"/>
        </w:rPr>
        <w:t>maxNumberCSI</w:t>
      </w:r>
      <w:proofErr w:type="spellEnd"/>
      <w:r w:rsidRPr="00B162B9">
        <w:rPr>
          <w:b/>
          <w:bCs/>
          <w:i/>
          <w:iCs/>
          <w:lang w:val="en-US" w:eastAsia="zh-CN"/>
        </w:rPr>
        <w:t>-RS-</w:t>
      </w:r>
      <w:proofErr w:type="spellStart"/>
      <w:r w:rsidRPr="00B162B9">
        <w:rPr>
          <w:b/>
          <w:bCs/>
          <w:i/>
          <w:iCs/>
          <w:lang w:val="en-US" w:eastAsia="zh-CN"/>
        </w:rPr>
        <w:t>ResourceTwoTx</w:t>
      </w:r>
      <w:proofErr w:type="spellEnd"/>
      <w:r w:rsidRPr="00B162B9">
        <w:rPr>
          <w:b/>
          <w:bCs/>
          <w:i/>
          <w:iCs/>
          <w:lang w:val="en-US" w:eastAsia="zh-CN"/>
        </w:rPr>
        <w:t xml:space="preserve"> in FG </w:t>
      </w:r>
      <w:proofErr w:type="spellStart"/>
      <w:r w:rsidRPr="00B162B9">
        <w:rPr>
          <w:b/>
          <w:bCs/>
          <w:i/>
          <w:iCs/>
          <w:lang w:val="en-US" w:eastAsia="zh-CN"/>
        </w:rPr>
        <w:t>beamManagementSSB</w:t>
      </w:r>
      <w:proofErr w:type="spellEnd"/>
      <w:r w:rsidRPr="00B162B9">
        <w:rPr>
          <w:b/>
          <w:bCs/>
          <w:i/>
          <w:iCs/>
          <w:lang w:val="en-US" w:eastAsia="zh-CN"/>
        </w:rPr>
        <w:t>-CSI-RS, the “within a slot and across serving cell</w:t>
      </w:r>
      <w:r w:rsidR="008C6C52">
        <w:rPr>
          <w:b/>
          <w:bCs/>
          <w:i/>
          <w:iCs/>
          <w:lang w:val="en-US" w:eastAsia="zh-CN"/>
        </w:rPr>
        <w:t>s…</w:t>
      </w:r>
      <w:r w:rsidRPr="00B162B9">
        <w:rPr>
          <w:b/>
          <w:bCs/>
          <w:i/>
          <w:iCs/>
          <w:lang w:val="en-US" w:eastAsia="zh-CN"/>
        </w:rPr>
        <w:t>” should be “within a slot based on the lowest subcarrier spacing across serving cell</w:t>
      </w:r>
      <w:r w:rsidR="008C6C52">
        <w:rPr>
          <w:b/>
          <w:bCs/>
          <w:i/>
          <w:iCs/>
          <w:lang w:val="en-US" w:eastAsia="zh-CN"/>
        </w:rPr>
        <w:t>s</w:t>
      </w:r>
      <w:r w:rsidRPr="00B162B9">
        <w:rPr>
          <w:b/>
          <w:bCs/>
          <w:i/>
          <w:iCs/>
          <w:lang w:val="en-US" w:eastAsia="zh-CN"/>
        </w:rPr>
        <w:t xml:space="preserve"> and across serving cell</w:t>
      </w:r>
      <w:r w:rsidR="008C6C52">
        <w:rPr>
          <w:b/>
          <w:bCs/>
          <w:i/>
          <w:iCs/>
          <w:lang w:val="en-US" w:eastAsia="zh-CN"/>
        </w:rPr>
        <w:t>s…</w:t>
      </w:r>
      <w:r w:rsidRPr="00B162B9">
        <w:rPr>
          <w:b/>
          <w:bCs/>
          <w:i/>
          <w:iCs/>
          <w:lang w:val="en-US" w:eastAsia="zh-CN"/>
        </w:rPr>
        <w:t>”.</w:t>
      </w:r>
    </w:p>
    <w:p w14:paraId="2A5BA4DC" w14:textId="6DB80A0A" w:rsidR="002134C9" w:rsidRDefault="002134C9" w:rsidP="002134C9">
      <w:pPr>
        <w:pStyle w:val="Heading1"/>
      </w:pPr>
      <w:r>
        <w:t>Reference</w:t>
      </w:r>
    </w:p>
    <w:p w14:paraId="1D7536D3" w14:textId="0BBE08F6" w:rsidR="004B74CC" w:rsidRPr="00421D5E" w:rsidRDefault="003E5CD6"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w:t>
      </w:r>
      <w:r w:rsidR="00B162B9">
        <w:rPr>
          <w:sz w:val="22"/>
          <w:szCs w:val="22"/>
        </w:rPr>
        <w:t>306</w:t>
      </w:r>
      <w:r>
        <w:rPr>
          <w:sz w:val="22"/>
          <w:szCs w:val="22"/>
        </w:rPr>
        <w:t xml:space="preserve"> v15.</w:t>
      </w:r>
      <w:r w:rsidR="00995361">
        <w:rPr>
          <w:sz w:val="22"/>
          <w:szCs w:val="22"/>
        </w:rPr>
        <w:t>9</w:t>
      </w:r>
      <w:r>
        <w:rPr>
          <w:sz w:val="22"/>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9"/>
  </w:num>
  <w:num w:numId="4">
    <w:abstractNumId w:val="22"/>
  </w:num>
  <w:num w:numId="5">
    <w:abstractNumId w:val="28"/>
  </w:num>
  <w:num w:numId="6">
    <w:abstractNumId w:val="17"/>
  </w:num>
  <w:num w:numId="7">
    <w:abstractNumId w:val="24"/>
  </w:num>
  <w:num w:numId="8">
    <w:abstractNumId w:val="3"/>
  </w:num>
  <w:num w:numId="9">
    <w:abstractNumId w:val="26"/>
  </w:num>
  <w:num w:numId="10">
    <w:abstractNumId w:val="9"/>
  </w:num>
  <w:num w:numId="11">
    <w:abstractNumId w:val="21"/>
  </w:num>
  <w:num w:numId="12">
    <w:abstractNumId w:val="6"/>
  </w:num>
  <w:num w:numId="13">
    <w:abstractNumId w:val="12"/>
  </w:num>
  <w:num w:numId="14">
    <w:abstractNumId w:val="20"/>
  </w:num>
  <w:num w:numId="15">
    <w:abstractNumId w:val="8"/>
  </w:num>
  <w:num w:numId="16">
    <w:abstractNumId w:val="16"/>
  </w:num>
  <w:num w:numId="17">
    <w:abstractNumId w:val="23"/>
  </w:num>
  <w:num w:numId="18">
    <w:abstractNumId w:val="4"/>
  </w:num>
  <w:num w:numId="19">
    <w:abstractNumId w:val="14"/>
  </w:num>
  <w:num w:numId="20">
    <w:abstractNumId w:val="18"/>
  </w:num>
  <w:num w:numId="21">
    <w:abstractNumId w:val="25"/>
  </w:num>
  <w:num w:numId="22">
    <w:abstractNumId w:val="11"/>
  </w:num>
  <w:num w:numId="23">
    <w:abstractNumId w:val="10"/>
  </w:num>
  <w:num w:numId="24">
    <w:abstractNumId w:val="15"/>
  </w:num>
  <w:num w:numId="25">
    <w:abstractNumId w:val="5"/>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19"/>
  </w:num>
  <w:num w:numId="28">
    <w:abstractNumId w:val="7"/>
  </w:num>
  <w:num w:numId="29">
    <w:abstractNumId w:val="13"/>
  </w:num>
  <w:num w:numId="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461DE"/>
    <w:rsid w:val="0005018D"/>
    <w:rsid w:val="0005388A"/>
    <w:rsid w:val="0005612B"/>
    <w:rsid w:val="000605BB"/>
    <w:rsid w:val="00070C36"/>
    <w:rsid w:val="00073136"/>
    <w:rsid w:val="000A0881"/>
    <w:rsid w:val="000A1890"/>
    <w:rsid w:val="000C3D00"/>
    <w:rsid w:val="000D1A8F"/>
    <w:rsid w:val="000F2C70"/>
    <w:rsid w:val="001144DC"/>
    <w:rsid w:val="00127219"/>
    <w:rsid w:val="00140849"/>
    <w:rsid w:val="001454B7"/>
    <w:rsid w:val="00153773"/>
    <w:rsid w:val="00165EE3"/>
    <w:rsid w:val="00167B8F"/>
    <w:rsid w:val="001779C8"/>
    <w:rsid w:val="0018293E"/>
    <w:rsid w:val="0018607A"/>
    <w:rsid w:val="00194352"/>
    <w:rsid w:val="00194BBD"/>
    <w:rsid w:val="001B2AEE"/>
    <w:rsid w:val="001D5CE5"/>
    <w:rsid w:val="001D749D"/>
    <w:rsid w:val="001F14E7"/>
    <w:rsid w:val="002134C9"/>
    <w:rsid w:val="00252B41"/>
    <w:rsid w:val="00266E0F"/>
    <w:rsid w:val="00270999"/>
    <w:rsid w:val="00274F27"/>
    <w:rsid w:val="002805F2"/>
    <w:rsid w:val="00284AB0"/>
    <w:rsid w:val="00285B13"/>
    <w:rsid w:val="002948FF"/>
    <w:rsid w:val="002972B7"/>
    <w:rsid w:val="002A04A9"/>
    <w:rsid w:val="002A274D"/>
    <w:rsid w:val="002A5B21"/>
    <w:rsid w:val="002B162B"/>
    <w:rsid w:val="002B72F3"/>
    <w:rsid w:val="002C4EFD"/>
    <w:rsid w:val="002C57AC"/>
    <w:rsid w:val="002D2B50"/>
    <w:rsid w:val="002E7927"/>
    <w:rsid w:val="003105DC"/>
    <w:rsid w:val="0032399B"/>
    <w:rsid w:val="0034266A"/>
    <w:rsid w:val="0034417B"/>
    <w:rsid w:val="00351A93"/>
    <w:rsid w:val="0035494F"/>
    <w:rsid w:val="00356A2B"/>
    <w:rsid w:val="00366F52"/>
    <w:rsid w:val="00373419"/>
    <w:rsid w:val="003B54E1"/>
    <w:rsid w:val="003C0E4F"/>
    <w:rsid w:val="003D0590"/>
    <w:rsid w:val="003E5CD6"/>
    <w:rsid w:val="003E5F6E"/>
    <w:rsid w:val="003E75B6"/>
    <w:rsid w:val="003F670D"/>
    <w:rsid w:val="004056C5"/>
    <w:rsid w:val="00406FB8"/>
    <w:rsid w:val="00410A67"/>
    <w:rsid w:val="00417FC9"/>
    <w:rsid w:val="00430AB1"/>
    <w:rsid w:val="00431CD3"/>
    <w:rsid w:val="0043338E"/>
    <w:rsid w:val="004414FD"/>
    <w:rsid w:val="00441778"/>
    <w:rsid w:val="00446818"/>
    <w:rsid w:val="00461B15"/>
    <w:rsid w:val="00462395"/>
    <w:rsid w:val="00475C2B"/>
    <w:rsid w:val="00482475"/>
    <w:rsid w:val="00496D0C"/>
    <w:rsid w:val="004A41EF"/>
    <w:rsid w:val="004B2AB6"/>
    <w:rsid w:val="004B2C35"/>
    <w:rsid w:val="004B3124"/>
    <w:rsid w:val="004B74CC"/>
    <w:rsid w:val="004D3B6B"/>
    <w:rsid w:val="004D7FE6"/>
    <w:rsid w:val="005150C5"/>
    <w:rsid w:val="00517ADD"/>
    <w:rsid w:val="00530AB8"/>
    <w:rsid w:val="005363A1"/>
    <w:rsid w:val="0053782C"/>
    <w:rsid w:val="00550F71"/>
    <w:rsid w:val="00556671"/>
    <w:rsid w:val="005811A6"/>
    <w:rsid w:val="005B1AD1"/>
    <w:rsid w:val="005B6997"/>
    <w:rsid w:val="005B6A41"/>
    <w:rsid w:val="005D45F7"/>
    <w:rsid w:val="005D57A7"/>
    <w:rsid w:val="005F5A01"/>
    <w:rsid w:val="005F7A0E"/>
    <w:rsid w:val="0061765C"/>
    <w:rsid w:val="00626534"/>
    <w:rsid w:val="00631A14"/>
    <w:rsid w:val="00636D7B"/>
    <w:rsid w:val="006531B1"/>
    <w:rsid w:val="00661178"/>
    <w:rsid w:val="00672A8E"/>
    <w:rsid w:val="00683306"/>
    <w:rsid w:val="006A45D6"/>
    <w:rsid w:val="006B225C"/>
    <w:rsid w:val="006C6EAB"/>
    <w:rsid w:val="006D54CF"/>
    <w:rsid w:val="006F0EC9"/>
    <w:rsid w:val="00704C59"/>
    <w:rsid w:val="00726CDE"/>
    <w:rsid w:val="00732388"/>
    <w:rsid w:val="00745905"/>
    <w:rsid w:val="007509B0"/>
    <w:rsid w:val="00750A0B"/>
    <w:rsid w:val="007544F6"/>
    <w:rsid w:val="00766F27"/>
    <w:rsid w:val="00780D36"/>
    <w:rsid w:val="0078114E"/>
    <w:rsid w:val="007879E8"/>
    <w:rsid w:val="00797A21"/>
    <w:rsid w:val="007A0693"/>
    <w:rsid w:val="007A1B25"/>
    <w:rsid w:val="007D61E0"/>
    <w:rsid w:val="007D7304"/>
    <w:rsid w:val="007E4256"/>
    <w:rsid w:val="007E4EE1"/>
    <w:rsid w:val="007E554B"/>
    <w:rsid w:val="007E6FF6"/>
    <w:rsid w:val="007F128C"/>
    <w:rsid w:val="007F4D2C"/>
    <w:rsid w:val="00803CDF"/>
    <w:rsid w:val="008144EA"/>
    <w:rsid w:val="008273C9"/>
    <w:rsid w:val="008355FB"/>
    <w:rsid w:val="00854BD6"/>
    <w:rsid w:val="00872A01"/>
    <w:rsid w:val="00873C38"/>
    <w:rsid w:val="00874BFF"/>
    <w:rsid w:val="0089138A"/>
    <w:rsid w:val="00894787"/>
    <w:rsid w:val="00895000"/>
    <w:rsid w:val="008A25E9"/>
    <w:rsid w:val="008A65A1"/>
    <w:rsid w:val="008B24BF"/>
    <w:rsid w:val="008C1E1F"/>
    <w:rsid w:val="008C6C52"/>
    <w:rsid w:val="008D0789"/>
    <w:rsid w:val="008D6AE1"/>
    <w:rsid w:val="008E5031"/>
    <w:rsid w:val="008F75A9"/>
    <w:rsid w:val="00905E3A"/>
    <w:rsid w:val="00911E05"/>
    <w:rsid w:val="00911EFA"/>
    <w:rsid w:val="009150D0"/>
    <w:rsid w:val="009169C4"/>
    <w:rsid w:val="00916E49"/>
    <w:rsid w:val="00923A3D"/>
    <w:rsid w:val="009561E2"/>
    <w:rsid w:val="00977119"/>
    <w:rsid w:val="00983F09"/>
    <w:rsid w:val="00995361"/>
    <w:rsid w:val="009A55AA"/>
    <w:rsid w:val="009A702F"/>
    <w:rsid w:val="009B15B5"/>
    <w:rsid w:val="009C255E"/>
    <w:rsid w:val="009D1C4F"/>
    <w:rsid w:val="009E0E57"/>
    <w:rsid w:val="009F0065"/>
    <w:rsid w:val="009F215C"/>
    <w:rsid w:val="009F58CE"/>
    <w:rsid w:val="009F7D20"/>
    <w:rsid w:val="00A1036A"/>
    <w:rsid w:val="00A159B3"/>
    <w:rsid w:val="00A352F0"/>
    <w:rsid w:val="00A36981"/>
    <w:rsid w:val="00A41EE3"/>
    <w:rsid w:val="00A476D3"/>
    <w:rsid w:val="00A70040"/>
    <w:rsid w:val="00A71667"/>
    <w:rsid w:val="00A805B9"/>
    <w:rsid w:val="00A93DEE"/>
    <w:rsid w:val="00A95A78"/>
    <w:rsid w:val="00AA1820"/>
    <w:rsid w:val="00AB26E1"/>
    <w:rsid w:val="00AB6C52"/>
    <w:rsid w:val="00AD1997"/>
    <w:rsid w:val="00AE79CA"/>
    <w:rsid w:val="00AF13FC"/>
    <w:rsid w:val="00B0669A"/>
    <w:rsid w:val="00B07AF0"/>
    <w:rsid w:val="00B162B9"/>
    <w:rsid w:val="00B23EB7"/>
    <w:rsid w:val="00B3630A"/>
    <w:rsid w:val="00B438E6"/>
    <w:rsid w:val="00B72388"/>
    <w:rsid w:val="00B73194"/>
    <w:rsid w:val="00B768CF"/>
    <w:rsid w:val="00B875E8"/>
    <w:rsid w:val="00B939BA"/>
    <w:rsid w:val="00B94DCB"/>
    <w:rsid w:val="00BA3101"/>
    <w:rsid w:val="00BA7669"/>
    <w:rsid w:val="00BB57C2"/>
    <w:rsid w:val="00BB5FC3"/>
    <w:rsid w:val="00BB64B1"/>
    <w:rsid w:val="00BD76CD"/>
    <w:rsid w:val="00BF1113"/>
    <w:rsid w:val="00BF6DEF"/>
    <w:rsid w:val="00C04914"/>
    <w:rsid w:val="00C231D3"/>
    <w:rsid w:val="00C36E32"/>
    <w:rsid w:val="00C40398"/>
    <w:rsid w:val="00C42379"/>
    <w:rsid w:val="00C467B0"/>
    <w:rsid w:val="00C60DC5"/>
    <w:rsid w:val="00C66A4A"/>
    <w:rsid w:val="00C84FE2"/>
    <w:rsid w:val="00C85A29"/>
    <w:rsid w:val="00C86492"/>
    <w:rsid w:val="00C8742A"/>
    <w:rsid w:val="00CB3368"/>
    <w:rsid w:val="00CD12E3"/>
    <w:rsid w:val="00CD3E0B"/>
    <w:rsid w:val="00CE5BBA"/>
    <w:rsid w:val="00CE6DE0"/>
    <w:rsid w:val="00D01B01"/>
    <w:rsid w:val="00D0434D"/>
    <w:rsid w:val="00D17FFE"/>
    <w:rsid w:val="00D263F1"/>
    <w:rsid w:val="00D313A3"/>
    <w:rsid w:val="00D623A6"/>
    <w:rsid w:val="00D94316"/>
    <w:rsid w:val="00D97A9D"/>
    <w:rsid w:val="00DC0AEB"/>
    <w:rsid w:val="00DC24CB"/>
    <w:rsid w:val="00DD2795"/>
    <w:rsid w:val="00DE3E8D"/>
    <w:rsid w:val="00DF26C5"/>
    <w:rsid w:val="00E11B95"/>
    <w:rsid w:val="00E11F7A"/>
    <w:rsid w:val="00E24D94"/>
    <w:rsid w:val="00E36B82"/>
    <w:rsid w:val="00E414C7"/>
    <w:rsid w:val="00E4409C"/>
    <w:rsid w:val="00E54932"/>
    <w:rsid w:val="00E55EB5"/>
    <w:rsid w:val="00E5676B"/>
    <w:rsid w:val="00E56A0E"/>
    <w:rsid w:val="00E63417"/>
    <w:rsid w:val="00E730FE"/>
    <w:rsid w:val="00E819FF"/>
    <w:rsid w:val="00E81FFA"/>
    <w:rsid w:val="00E94062"/>
    <w:rsid w:val="00EA04A3"/>
    <w:rsid w:val="00EA73C1"/>
    <w:rsid w:val="00EB16EC"/>
    <w:rsid w:val="00EB54F6"/>
    <w:rsid w:val="00EC0F55"/>
    <w:rsid w:val="00EC2A35"/>
    <w:rsid w:val="00ED6081"/>
    <w:rsid w:val="00EE18CC"/>
    <w:rsid w:val="00EF7114"/>
    <w:rsid w:val="00EF7A4E"/>
    <w:rsid w:val="00F05BCC"/>
    <w:rsid w:val="00F17D02"/>
    <w:rsid w:val="00F2435A"/>
    <w:rsid w:val="00F352A5"/>
    <w:rsid w:val="00F36D7D"/>
    <w:rsid w:val="00F37734"/>
    <w:rsid w:val="00F43CD1"/>
    <w:rsid w:val="00F50376"/>
    <w:rsid w:val="00F763E7"/>
    <w:rsid w:val="00F87CB0"/>
    <w:rsid w:val="00FA48C3"/>
    <w:rsid w:val="00FC518A"/>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5814977">
      <w:bodyDiv w:val="1"/>
      <w:marLeft w:val="0"/>
      <w:marRight w:val="0"/>
      <w:marTop w:val="0"/>
      <w:marBottom w:val="0"/>
      <w:divBdr>
        <w:top w:val="none" w:sz="0" w:space="0" w:color="auto"/>
        <w:left w:val="none" w:sz="0" w:space="0" w:color="auto"/>
        <w:bottom w:val="none" w:sz="0" w:space="0" w:color="auto"/>
        <w:right w:val="none" w:sz="0" w:space="0" w:color="auto"/>
      </w:divBdr>
      <w:divsChild>
        <w:div w:id="595019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063005">
              <w:marLeft w:val="0"/>
              <w:marRight w:val="0"/>
              <w:marTop w:val="0"/>
              <w:marBottom w:val="0"/>
              <w:divBdr>
                <w:top w:val="none" w:sz="0" w:space="0" w:color="auto"/>
                <w:left w:val="none" w:sz="0" w:space="0" w:color="auto"/>
                <w:bottom w:val="none" w:sz="0" w:space="0" w:color="auto"/>
                <w:right w:val="none" w:sz="0" w:space="0" w:color="auto"/>
              </w:divBdr>
              <w:divsChild>
                <w:div w:id="1278875206">
                  <w:marLeft w:val="0"/>
                  <w:marRight w:val="0"/>
                  <w:marTop w:val="0"/>
                  <w:marBottom w:val="0"/>
                  <w:divBdr>
                    <w:top w:val="none" w:sz="0" w:space="0" w:color="auto"/>
                    <w:left w:val="none" w:sz="0" w:space="0" w:color="auto"/>
                    <w:bottom w:val="none" w:sz="0" w:space="0" w:color="auto"/>
                    <w:right w:val="none" w:sz="0" w:space="0" w:color="auto"/>
                  </w:divBdr>
                  <w:divsChild>
                    <w:div w:id="65886630">
                      <w:marLeft w:val="0"/>
                      <w:marRight w:val="0"/>
                      <w:marTop w:val="0"/>
                      <w:marBottom w:val="0"/>
                      <w:divBdr>
                        <w:top w:val="none" w:sz="0" w:space="0" w:color="auto"/>
                        <w:left w:val="none" w:sz="0" w:space="0" w:color="auto"/>
                        <w:bottom w:val="none" w:sz="0" w:space="0" w:color="auto"/>
                        <w:right w:val="none" w:sz="0" w:space="0" w:color="auto"/>
                      </w:divBdr>
                      <w:divsChild>
                        <w:div w:id="168331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206790">
      <w:bodyDiv w:val="1"/>
      <w:marLeft w:val="0"/>
      <w:marRight w:val="0"/>
      <w:marTop w:val="0"/>
      <w:marBottom w:val="0"/>
      <w:divBdr>
        <w:top w:val="none" w:sz="0" w:space="0" w:color="auto"/>
        <w:left w:val="none" w:sz="0" w:space="0" w:color="auto"/>
        <w:bottom w:val="none" w:sz="0" w:space="0" w:color="auto"/>
        <w:right w:val="none" w:sz="0" w:space="0" w:color="auto"/>
      </w:divBdr>
      <w:divsChild>
        <w:div w:id="954367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970847">
              <w:marLeft w:val="0"/>
              <w:marRight w:val="0"/>
              <w:marTop w:val="0"/>
              <w:marBottom w:val="0"/>
              <w:divBdr>
                <w:top w:val="none" w:sz="0" w:space="0" w:color="auto"/>
                <w:left w:val="none" w:sz="0" w:space="0" w:color="auto"/>
                <w:bottom w:val="none" w:sz="0" w:space="0" w:color="auto"/>
                <w:right w:val="none" w:sz="0" w:space="0" w:color="auto"/>
              </w:divBdr>
              <w:divsChild>
                <w:div w:id="399711416">
                  <w:marLeft w:val="0"/>
                  <w:marRight w:val="0"/>
                  <w:marTop w:val="0"/>
                  <w:marBottom w:val="0"/>
                  <w:divBdr>
                    <w:top w:val="none" w:sz="0" w:space="0" w:color="auto"/>
                    <w:left w:val="none" w:sz="0" w:space="0" w:color="auto"/>
                    <w:bottom w:val="none" w:sz="0" w:space="0" w:color="auto"/>
                    <w:right w:val="none" w:sz="0" w:space="0" w:color="auto"/>
                  </w:divBdr>
                  <w:divsChild>
                    <w:div w:id="1825275229">
                      <w:marLeft w:val="0"/>
                      <w:marRight w:val="0"/>
                      <w:marTop w:val="0"/>
                      <w:marBottom w:val="0"/>
                      <w:divBdr>
                        <w:top w:val="none" w:sz="0" w:space="0" w:color="auto"/>
                        <w:left w:val="none" w:sz="0" w:space="0" w:color="auto"/>
                        <w:bottom w:val="none" w:sz="0" w:space="0" w:color="auto"/>
                        <w:right w:val="none" w:sz="0" w:space="0" w:color="auto"/>
                      </w:divBdr>
                      <w:divsChild>
                        <w:div w:id="1527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22124666">
      <w:bodyDiv w:val="1"/>
      <w:marLeft w:val="0"/>
      <w:marRight w:val="0"/>
      <w:marTop w:val="0"/>
      <w:marBottom w:val="0"/>
      <w:divBdr>
        <w:top w:val="none" w:sz="0" w:space="0" w:color="auto"/>
        <w:left w:val="none" w:sz="0" w:space="0" w:color="auto"/>
        <w:bottom w:val="none" w:sz="0" w:space="0" w:color="auto"/>
        <w:right w:val="none" w:sz="0" w:space="0" w:color="auto"/>
      </w:divBdr>
      <w:divsChild>
        <w:div w:id="1137531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28692">
              <w:marLeft w:val="0"/>
              <w:marRight w:val="0"/>
              <w:marTop w:val="0"/>
              <w:marBottom w:val="0"/>
              <w:divBdr>
                <w:top w:val="none" w:sz="0" w:space="0" w:color="auto"/>
                <w:left w:val="none" w:sz="0" w:space="0" w:color="auto"/>
                <w:bottom w:val="none" w:sz="0" w:space="0" w:color="auto"/>
                <w:right w:val="none" w:sz="0" w:space="0" w:color="auto"/>
              </w:divBdr>
              <w:divsChild>
                <w:div w:id="1988897201">
                  <w:marLeft w:val="0"/>
                  <w:marRight w:val="0"/>
                  <w:marTop w:val="0"/>
                  <w:marBottom w:val="0"/>
                  <w:divBdr>
                    <w:top w:val="none" w:sz="0" w:space="0" w:color="auto"/>
                    <w:left w:val="none" w:sz="0" w:space="0" w:color="auto"/>
                    <w:bottom w:val="none" w:sz="0" w:space="0" w:color="auto"/>
                    <w:right w:val="none" w:sz="0" w:space="0" w:color="auto"/>
                  </w:divBdr>
                  <w:divsChild>
                    <w:div w:id="676343764">
                      <w:marLeft w:val="0"/>
                      <w:marRight w:val="0"/>
                      <w:marTop w:val="0"/>
                      <w:marBottom w:val="0"/>
                      <w:divBdr>
                        <w:top w:val="none" w:sz="0" w:space="0" w:color="auto"/>
                        <w:left w:val="none" w:sz="0" w:space="0" w:color="auto"/>
                        <w:bottom w:val="none" w:sz="0" w:space="0" w:color="auto"/>
                        <w:right w:val="none" w:sz="0" w:space="0" w:color="auto"/>
                      </w:divBdr>
                      <w:divsChild>
                        <w:div w:id="15186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2020-05-07T08:04:00Z</dcterms:created>
  <dcterms:modified xsi:type="dcterms:W3CDTF">2020-05-15T02:12:00Z</dcterms:modified>
</cp:coreProperties>
</file>